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72" w:rsidRDefault="00D50A72" w:rsidP="00D50A72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Participace na akreditovaných vzdělávacích programech jiných subjektů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45"/>
        <w:gridCol w:w="2294"/>
        <w:gridCol w:w="1610"/>
        <w:gridCol w:w="1405"/>
        <w:gridCol w:w="1508"/>
      </w:tblGrid>
      <w:tr w:rsidR="00D50A72" w:rsidTr="006C38C6">
        <w:tc>
          <w:tcPr>
            <w:tcW w:w="990" w:type="pct"/>
          </w:tcPr>
          <w:p w:rsidR="00D50A72" w:rsidRDefault="00D50A72" w:rsidP="00887755">
            <w:r>
              <w:t>SPO</w:t>
            </w:r>
          </w:p>
        </w:tc>
        <w:tc>
          <w:tcPr>
            <w:tcW w:w="1037" w:type="pct"/>
          </w:tcPr>
          <w:p w:rsidR="00D50A72" w:rsidRDefault="00D50A72" w:rsidP="00887755">
            <w:r>
              <w:t>Název programu/u koho je akreditován</w:t>
            </w:r>
          </w:p>
        </w:tc>
        <w:tc>
          <w:tcPr>
            <w:tcW w:w="991" w:type="pct"/>
          </w:tcPr>
          <w:p w:rsidR="00D50A72" w:rsidRDefault="00D50A72" w:rsidP="00887755">
            <w:proofErr w:type="gramStart"/>
            <w:r>
              <w:t>Způsob  participace</w:t>
            </w:r>
            <w:proofErr w:type="gramEnd"/>
          </w:p>
        </w:tc>
        <w:tc>
          <w:tcPr>
            <w:tcW w:w="991" w:type="pct"/>
          </w:tcPr>
          <w:p w:rsidR="00D50A72" w:rsidRDefault="00D50A72" w:rsidP="00887755">
            <w:r>
              <w:t xml:space="preserve">Počet účastníků </w:t>
            </w:r>
          </w:p>
        </w:tc>
        <w:tc>
          <w:tcPr>
            <w:tcW w:w="991" w:type="pct"/>
          </w:tcPr>
          <w:p w:rsidR="00D50A72" w:rsidRDefault="00D50A72" w:rsidP="00887755">
            <w:r>
              <w:t>Financováno z vlastních/ externích zdrojů</w:t>
            </w:r>
          </w:p>
        </w:tc>
      </w:tr>
      <w:tr w:rsidR="006C38C6" w:rsidTr="006C38C6">
        <w:tc>
          <w:tcPr>
            <w:tcW w:w="990" w:type="pct"/>
            <w:hideMark/>
          </w:tcPr>
          <w:p w:rsidR="006C38C6" w:rsidRDefault="006C38C6">
            <w:pPr>
              <w:spacing w:line="240" w:lineRule="auto"/>
            </w:pPr>
            <w:r>
              <w:t>Památník Terezín</w:t>
            </w:r>
          </w:p>
        </w:tc>
        <w:tc>
          <w:tcPr>
            <w:tcW w:w="1037" w:type="pct"/>
            <w:hideMark/>
          </w:tcPr>
          <w:p w:rsidR="006C38C6" w:rsidRDefault="006C38C6">
            <w:pPr>
              <w:spacing w:line="240" w:lineRule="auto"/>
            </w:pPr>
            <w:r>
              <w:t>Jak vyučovat o holocaustu/MŠMT</w:t>
            </w:r>
          </w:p>
        </w:tc>
        <w:tc>
          <w:tcPr>
            <w:tcW w:w="991" w:type="pct"/>
            <w:hideMark/>
          </w:tcPr>
          <w:p w:rsidR="006C38C6" w:rsidRDefault="006C38C6">
            <w:pPr>
              <w:spacing w:line="240" w:lineRule="auto"/>
            </w:pPr>
            <w:r>
              <w:t xml:space="preserve">Workshop muzejní pedagožky a přednáška historika muzea </w:t>
            </w:r>
          </w:p>
        </w:tc>
        <w:tc>
          <w:tcPr>
            <w:tcW w:w="991" w:type="pct"/>
            <w:hideMark/>
          </w:tcPr>
          <w:p w:rsidR="006C38C6" w:rsidRDefault="006C38C6">
            <w:pPr>
              <w:spacing w:line="240" w:lineRule="auto"/>
            </w:pPr>
            <w:r>
              <w:t>90</w:t>
            </w:r>
          </w:p>
        </w:tc>
        <w:tc>
          <w:tcPr>
            <w:tcW w:w="991" w:type="pct"/>
            <w:hideMark/>
          </w:tcPr>
          <w:p w:rsidR="006C38C6" w:rsidRDefault="006C38C6">
            <w:pPr>
              <w:spacing w:line="240" w:lineRule="auto"/>
            </w:pPr>
            <w:r>
              <w:t>Seminář je plně dotován Ministerstvem školství, mládeže a tělovýchovy České republiky a Ministerstvem kultury České republiky</w:t>
            </w:r>
          </w:p>
        </w:tc>
      </w:tr>
      <w:tr w:rsidR="00465901" w:rsidTr="00465901">
        <w:tc>
          <w:tcPr>
            <w:tcW w:w="990" w:type="pct"/>
          </w:tcPr>
          <w:p w:rsidR="00465901" w:rsidRDefault="006757ED" w:rsidP="006757ED">
            <w:r>
              <w:t xml:space="preserve">Muzeum </w:t>
            </w:r>
            <w:r w:rsidR="00465901">
              <w:t>u</w:t>
            </w:r>
            <w:r>
              <w:t>mění Olomouc</w:t>
            </w:r>
          </w:p>
        </w:tc>
        <w:tc>
          <w:tcPr>
            <w:tcW w:w="1037" w:type="pct"/>
          </w:tcPr>
          <w:p w:rsidR="00465901" w:rsidRDefault="00465901" w:rsidP="00E37515">
            <w:r>
              <w:t xml:space="preserve">Úvod do studia </w:t>
            </w:r>
            <w:proofErr w:type="spellStart"/>
            <w:r>
              <w:t>artefiletiky</w:t>
            </w:r>
            <w:proofErr w:type="spellEnd"/>
            <w:r>
              <w:t xml:space="preserve"> – pojetí výchovy uměním</w:t>
            </w:r>
          </w:p>
          <w:p w:rsidR="00465901" w:rsidRDefault="00465901" w:rsidP="00E37515">
            <w:r>
              <w:t>Akreditace: MŠMT ČR</w:t>
            </w:r>
          </w:p>
        </w:tc>
        <w:tc>
          <w:tcPr>
            <w:tcW w:w="991" w:type="pct"/>
          </w:tcPr>
          <w:p w:rsidR="00465901" w:rsidRDefault="00465901" w:rsidP="00E37515">
            <w:r>
              <w:t>Spolupráce na koncepci semináře, poskytnutí kazuistik</w:t>
            </w:r>
          </w:p>
        </w:tc>
        <w:tc>
          <w:tcPr>
            <w:tcW w:w="991" w:type="pct"/>
          </w:tcPr>
          <w:p w:rsidR="00465901" w:rsidRDefault="00465901" w:rsidP="00E37515">
            <w:r>
              <w:t>18</w:t>
            </w:r>
          </w:p>
        </w:tc>
        <w:tc>
          <w:tcPr>
            <w:tcW w:w="991" w:type="pct"/>
          </w:tcPr>
          <w:p w:rsidR="00465901" w:rsidRDefault="00465901" w:rsidP="00E37515">
            <w:r>
              <w:t>Z externích zdrojů</w:t>
            </w:r>
          </w:p>
        </w:tc>
      </w:tr>
      <w:tr w:rsidR="00B745DD" w:rsidTr="00B745DD">
        <w:tc>
          <w:tcPr>
            <w:tcW w:w="990" w:type="pct"/>
            <w:hideMark/>
          </w:tcPr>
          <w:p w:rsidR="00B745DD" w:rsidRPr="00B745DD" w:rsidRDefault="00B745DD">
            <w:pPr>
              <w:spacing w:line="240" w:lineRule="auto"/>
            </w:pPr>
            <w:r w:rsidRPr="00B745DD">
              <w:rPr>
                <w:sz w:val="20"/>
                <w:szCs w:val="20"/>
              </w:rPr>
              <w:t>N</w:t>
            </w:r>
            <w:r w:rsidR="006757ED">
              <w:rPr>
                <w:sz w:val="20"/>
                <w:szCs w:val="20"/>
              </w:rPr>
              <w:t>árodní galerie</w:t>
            </w:r>
            <w:bookmarkStart w:id="0" w:name="_GoBack"/>
            <w:bookmarkEnd w:id="0"/>
            <w:r w:rsidRPr="00B745DD">
              <w:rPr>
                <w:sz w:val="20"/>
                <w:szCs w:val="20"/>
              </w:rPr>
              <w:t xml:space="preserve"> – LO SUDS a SMSU</w:t>
            </w:r>
          </w:p>
        </w:tc>
        <w:tc>
          <w:tcPr>
            <w:tcW w:w="1037" w:type="pct"/>
            <w:hideMark/>
          </w:tcPr>
          <w:p w:rsidR="00B745DD" w:rsidRPr="00B745DD" w:rsidRDefault="00B745DD">
            <w:pPr>
              <w:spacing w:line="240" w:lineRule="auto"/>
            </w:pPr>
            <w:r w:rsidRPr="00B745DD">
              <w:rPr>
                <w:b/>
                <w:bCs/>
                <w:i/>
                <w:iCs/>
              </w:rPr>
              <w:t xml:space="preserve">Slovanská epopej a strýček </w:t>
            </w:r>
            <w:proofErr w:type="spellStart"/>
            <w:r w:rsidRPr="00B745DD">
              <w:rPr>
                <w:b/>
                <w:bCs/>
                <w:i/>
                <w:iCs/>
              </w:rPr>
              <w:t>Rudi</w:t>
            </w:r>
            <w:proofErr w:type="spellEnd"/>
            <w:r w:rsidRPr="00B745DD">
              <w:rPr>
                <w:b/>
                <w:bCs/>
                <w:i/>
                <w:iCs/>
              </w:rPr>
              <w:t xml:space="preserve"> aneb Dějiny vyprávěné výtvarným uměním – akreditováno MŠMT</w:t>
            </w:r>
          </w:p>
        </w:tc>
        <w:tc>
          <w:tcPr>
            <w:tcW w:w="991" w:type="pct"/>
            <w:hideMark/>
          </w:tcPr>
          <w:p w:rsidR="00B745DD" w:rsidRDefault="00B745DD">
            <w:pPr>
              <w:spacing w:line="240" w:lineRule="auto"/>
            </w:pPr>
            <w:r>
              <w:t xml:space="preserve">Spolupráce – výstava Slovanská </w:t>
            </w:r>
            <w:proofErr w:type="spellStart"/>
            <w:r>
              <w:t>epojej</w:t>
            </w:r>
            <w:proofErr w:type="spellEnd"/>
            <w:r>
              <w:t xml:space="preserve">, další Památník Lidice, Galerie hl. m. </w:t>
            </w:r>
            <w:proofErr w:type="spellStart"/>
            <w:r>
              <w:t>Phy</w:t>
            </w:r>
            <w:proofErr w:type="spellEnd"/>
          </w:p>
        </w:tc>
        <w:tc>
          <w:tcPr>
            <w:tcW w:w="991" w:type="pct"/>
          </w:tcPr>
          <w:p w:rsidR="00B745DD" w:rsidRDefault="00B745DD">
            <w:pPr>
              <w:spacing w:line="240" w:lineRule="auto"/>
            </w:pPr>
          </w:p>
        </w:tc>
        <w:tc>
          <w:tcPr>
            <w:tcW w:w="991" w:type="pct"/>
          </w:tcPr>
          <w:p w:rsidR="00B745DD" w:rsidRDefault="00B745DD">
            <w:pPr>
              <w:spacing w:line="240" w:lineRule="auto"/>
            </w:pPr>
          </w:p>
        </w:tc>
      </w:tr>
      <w:tr w:rsidR="00EF6FC3" w:rsidTr="00EF6FC3">
        <w:tc>
          <w:tcPr>
            <w:tcW w:w="990" w:type="pct"/>
            <w:hideMark/>
          </w:tcPr>
          <w:p w:rsidR="00EF6FC3" w:rsidRDefault="00EF6FC3">
            <w:pPr>
              <w:spacing w:line="240" w:lineRule="auto"/>
            </w:pPr>
            <w:r>
              <w:t>Národní muzeum – Historické muzeum</w:t>
            </w:r>
          </w:p>
        </w:tc>
        <w:tc>
          <w:tcPr>
            <w:tcW w:w="1037" w:type="pct"/>
            <w:hideMark/>
          </w:tcPr>
          <w:p w:rsidR="00EF6FC3" w:rsidRDefault="00EF6FC3">
            <w:pPr>
              <w:spacing w:line="240" w:lineRule="auto"/>
            </w:pPr>
            <w:r>
              <w:t>Den architektury, NPÚ ústřední pracoviště Praha</w:t>
            </w: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Jednorázová přednáška</w:t>
            </w: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70</w:t>
            </w: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ne</w:t>
            </w:r>
          </w:p>
        </w:tc>
      </w:tr>
      <w:tr w:rsidR="00EF6FC3" w:rsidTr="00EF6FC3">
        <w:tc>
          <w:tcPr>
            <w:tcW w:w="990" w:type="pct"/>
            <w:hideMark/>
          </w:tcPr>
          <w:p w:rsidR="00EF6FC3" w:rsidRDefault="00EF6FC3">
            <w:pPr>
              <w:spacing w:line="240" w:lineRule="auto"/>
            </w:pPr>
            <w:r>
              <w:t>Národní muzeum – Historické muzeum</w:t>
            </w:r>
          </w:p>
        </w:tc>
        <w:tc>
          <w:tcPr>
            <w:tcW w:w="1037" w:type="pct"/>
          </w:tcPr>
          <w:p w:rsidR="00EF6FC3" w:rsidRDefault="00EF6FC3">
            <w:pPr>
              <w:spacing w:line="240" w:lineRule="auto"/>
            </w:pPr>
            <w:r>
              <w:t>13. Zasedání k problematice sepulkrálních památek, pořádal Ústav dějin umění AVČR pod titulem</w:t>
            </w:r>
            <w:r>
              <w:rPr>
                <w:i/>
              </w:rPr>
              <w:t xml:space="preserve">“ O </w:t>
            </w:r>
            <w:proofErr w:type="spellStart"/>
            <w:r>
              <w:rPr>
                <w:i/>
              </w:rPr>
              <w:t>mors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quam</w:t>
            </w:r>
            <w:proofErr w:type="spellEnd"/>
            <w:r>
              <w:rPr>
                <w:i/>
              </w:rPr>
              <w:t xml:space="preserve"> amara </w:t>
            </w:r>
            <w:proofErr w:type="spellStart"/>
            <w:r>
              <w:rPr>
                <w:i/>
              </w:rPr>
              <w:t>est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memoria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tua</w:t>
            </w:r>
            <w:proofErr w:type="spellEnd"/>
            <w:r>
              <w:rPr>
                <w:i/>
              </w:rPr>
              <w:t>“</w:t>
            </w:r>
            <w:r>
              <w:t xml:space="preserve"> </w:t>
            </w:r>
          </w:p>
          <w:p w:rsidR="00EF6FC3" w:rsidRDefault="00EF6FC3">
            <w:pPr>
              <w:spacing w:line="240" w:lineRule="auto"/>
            </w:pP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Jednorázová přednáška</w:t>
            </w: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70</w:t>
            </w:r>
          </w:p>
        </w:tc>
        <w:tc>
          <w:tcPr>
            <w:tcW w:w="991" w:type="pct"/>
            <w:hideMark/>
          </w:tcPr>
          <w:p w:rsidR="00EF6FC3" w:rsidRDefault="00EF6FC3">
            <w:pPr>
              <w:spacing w:line="240" w:lineRule="auto"/>
            </w:pPr>
            <w:r>
              <w:t>ne</w:t>
            </w:r>
          </w:p>
        </w:tc>
      </w:tr>
      <w:tr w:rsidR="002E235D" w:rsidRPr="0085100E" w:rsidTr="002E235D">
        <w:tc>
          <w:tcPr>
            <w:tcW w:w="990" w:type="pct"/>
          </w:tcPr>
          <w:p w:rsidR="002E235D" w:rsidRPr="0085100E" w:rsidRDefault="002E235D" w:rsidP="00E4762B">
            <w:pPr>
              <w:pStyle w:val="Odstavecseseznamem"/>
              <w:ind w:left="0"/>
              <w:rPr>
                <w:b/>
              </w:rPr>
            </w:pPr>
            <w:r w:rsidRPr="0085100E">
              <w:rPr>
                <w:b/>
              </w:rPr>
              <w:t>Uměleckoprůmyslové</w:t>
            </w:r>
          </w:p>
          <w:p w:rsidR="002E235D" w:rsidRPr="0085100E" w:rsidRDefault="002E235D" w:rsidP="00E4762B">
            <w:pPr>
              <w:rPr>
                <w:b/>
              </w:rPr>
            </w:pPr>
            <w:r w:rsidRPr="0085100E">
              <w:rPr>
                <w:b/>
              </w:rPr>
              <w:t xml:space="preserve">museum v Praze a Katedra výtvarné výchovy </w:t>
            </w:r>
            <w:proofErr w:type="spellStart"/>
            <w:r w:rsidRPr="0085100E">
              <w:rPr>
                <w:b/>
              </w:rPr>
              <w:t>PedF</w:t>
            </w:r>
            <w:proofErr w:type="spellEnd"/>
            <w:r w:rsidRPr="0085100E">
              <w:rPr>
                <w:b/>
              </w:rPr>
              <w:t xml:space="preserve"> UK </w:t>
            </w:r>
          </w:p>
          <w:p w:rsidR="002E235D" w:rsidRDefault="002E235D" w:rsidP="00E4762B">
            <w:r w:rsidRPr="0085100E">
              <w:rPr>
                <w:b/>
              </w:rPr>
              <w:t>v Praze</w:t>
            </w:r>
          </w:p>
        </w:tc>
        <w:tc>
          <w:tcPr>
            <w:tcW w:w="1037" w:type="pct"/>
          </w:tcPr>
          <w:p w:rsidR="002E235D" w:rsidRDefault="002E235D" w:rsidP="00E4762B">
            <w:pPr>
              <w:rPr>
                <w:b/>
              </w:rPr>
            </w:pPr>
            <w:r w:rsidRPr="0085100E">
              <w:rPr>
                <w:b/>
              </w:rPr>
              <w:t xml:space="preserve">3 metodiky </w:t>
            </w:r>
            <w:r>
              <w:rPr>
                <w:b/>
              </w:rPr>
              <w:t>galerijního/muzejního programu pro předškolní, základní a gymnaziální vzdělávání</w:t>
            </w:r>
          </w:p>
          <w:p w:rsidR="002E235D" w:rsidRPr="0085100E" w:rsidRDefault="002E235D" w:rsidP="00E4762B">
            <w:pPr>
              <w:rPr>
                <w:b/>
              </w:rPr>
            </w:pPr>
            <w:r>
              <w:rPr>
                <w:b/>
              </w:rPr>
              <w:t>Akreditovány u MK ČR dne 15. 4. 2014</w:t>
            </w:r>
          </w:p>
        </w:tc>
        <w:tc>
          <w:tcPr>
            <w:tcW w:w="991" w:type="pct"/>
          </w:tcPr>
          <w:p w:rsidR="002E235D" w:rsidRPr="0085100E" w:rsidRDefault="002E235D" w:rsidP="00E4762B">
            <w:pPr>
              <w:rPr>
                <w:b/>
              </w:rPr>
            </w:pPr>
            <w:r w:rsidRPr="0085100E">
              <w:rPr>
                <w:b/>
              </w:rPr>
              <w:t>Partnerská spolupráce, spoluřešitelská instituce</w:t>
            </w:r>
          </w:p>
        </w:tc>
        <w:tc>
          <w:tcPr>
            <w:tcW w:w="991" w:type="pct"/>
          </w:tcPr>
          <w:p w:rsidR="002E235D" w:rsidRDefault="002E235D" w:rsidP="00E4762B"/>
        </w:tc>
        <w:tc>
          <w:tcPr>
            <w:tcW w:w="991" w:type="pct"/>
          </w:tcPr>
          <w:p w:rsidR="002E235D" w:rsidRPr="0085100E" w:rsidRDefault="002E235D" w:rsidP="00E4762B">
            <w:pPr>
              <w:rPr>
                <w:b/>
              </w:rPr>
            </w:pPr>
            <w:r w:rsidRPr="0085100E">
              <w:rPr>
                <w:b/>
              </w:rPr>
              <w:t>Grant NAKI MK ČR</w:t>
            </w:r>
          </w:p>
        </w:tc>
      </w:tr>
    </w:tbl>
    <w:p w:rsidR="00D80FA6" w:rsidRDefault="00D80FA6"/>
    <w:sectPr w:rsidR="00D8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D3D"/>
    <w:multiLevelType w:val="hybridMultilevel"/>
    <w:tmpl w:val="1B88A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72"/>
    <w:rsid w:val="002E235D"/>
    <w:rsid w:val="00465901"/>
    <w:rsid w:val="006757ED"/>
    <w:rsid w:val="006C38C6"/>
    <w:rsid w:val="00B745DD"/>
    <w:rsid w:val="00D50A72"/>
    <w:rsid w:val="00D80FA6"/>
    <w:rsid w:val="00E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74EA-839D-4C09-BC44-9B0F070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A72"/>
    <w:pPr>
      <w:spacing w:after="0" w:line="276" w:lineRule="auto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A72"/>
    <w:pPr>
      <w:ind w:left="720"/>
    </w:pPr>
  </w:style>
  <w:style w:type="table" w:styleId="Mkatabulky">
    <w:name w:val="Table Grid"/>
    <w:basedOn w:val="Normlntabulka"/>
    <w:uiPriority w:val="59"/>
    <w:rsid w:val="00D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tdrobny</dc:creator>
  <cp:keywords/>
  <dc:description/>
  <cp:lastModifiedBy>tdrobny</cp:lastModifiedBy>
  <cp:revision>7</cp:revision>
  <dcterms:created xsi:type="dcterms:W3CDTF">2015-05-18T12:18:00Z</dcterms:created>
  <dcterms:modified xsi:type="dcterms:W3CDTF">2015-05-25T14:03:00Z</dcterms:modified>
</cp:coreProperties>
</file>